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2024-11-05</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5"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61"/>
              <w:gridCol w:w="2278"/>
              <w:gridCol w:w="358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approaches78,79.</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4" w:name="assessing-model-performance"/>
    <w:p>
      <w:pPr>
        <w:pStyle w:val="Heading2"/>
      </w:pPr>
      <w:r>
        <w:t xml:space="preserve">6.2 Assessing model performance</w:t>
      </w:r>
    </w:p>
    <w:p>
      <w:pPr>
        <w:numPr>
          <w:ilvl w:val="0"/>
          <w:numId w:val="1006"/>
        </w:numPr>
      </w:pPr>
      <w:r>
        <w:rPr>
          <w:b/>
          <w:bCs/>
        </w:rPr>
        <w:t xml:space="preserve">Links:</w:t>
      </w:r>
      <w:r>
        <w:t xml:space="preserve"> </w:t>
      </w:r>
      <w:r>
        <w:t xml:space="preserve">to determine if the number of links are</w:t>
      </w:r>
      <w:r>
        <w:t xml:space="preserve"> </w:t>
      </w:r>
      <w:r>
        <w:t xml:space="preserve">‘correct’</w:t>
      </w:r>
      <w:r>
        <w:t xml:space="preserve"> </w:t>
      </w:r>
      <w:r>
        <w:t xml:space="preserve">we use</w:t>
      </w:r>
      <w:r>
        <w:t xml:space="preserve"> </w:t>
      </w:r>
      <w:r>
        <w:rPr>
          <w:i/>
          <w:iCs/>
        </w:rPr>
        <w:t xml:space="preserve">connectance</w:t>
      </w:r>
    </w:p>
    <w:p>
      <w:pPr>
        <w:numPr>
          <w:ilvl w:val="0"/>
          <w:numId w:val="1006"/>
        </w:numPr>
      </w:pPr>
      <w:r>
        <w:rPr>
          <w:i/>
          <w:i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w:t>
      </w:r>
    </w:p>
    <w:p>
      <w:pPr>
        <w:pStyle w:val="Compact"/>
        <w:numPr>
          <w:ilvl w:val="1"/>
          <w:numId w:val="1007"/>
        </w:numPr>
      </w:pPr>
      <w:r>
        <w:t xml:space="preserve">A small (&lt; 1) number will thus be indicative of a</w:t>
      </w:r>
      <w:r>
        <w:t xml:space="preserve"> </w:t>
      </w:r>
      <w:r>
        <w:t xml:space="preserve">‘bottom-heavy’</w:t>
      </w:r>
      <w:r>
        <w:t xml:space="preserve"> </w:t>
      </w:r>
      <w:r>
        <w:t xml:space="preserve">network and the opposite for larger numbers</w:t>
      </w:r>
    </w:p>
    <w:p>
      <w:pPr>
        <w:numPr>
          <w:ilvl w:val="0"/>
          <w:numId w:val="1006"/>
        </w:numPr>
      </w:pPr>
      <w:r>
        <w:rPr>
          <w:b/>
          <w:bCs/>
        </w:rPr>
        <w:t xml:space="preserve">Structure:</w:t>
      </w:r>
      <w:r>
        <w:t xml:space="preserve"> </w:t>
      </w:r>
      <w:r>
        <w:t xml:space="preserve">to determine if we are capturing some higher level of</w:t>
      </w:r>
      <w:r>
        <w:t xml:space="preserve"> </w:t>
      </w:r>
      <w:r>
        <w:t xml:space="preserve">‘structure’</w:t>
      </w:r>
      <w:r>
        <w:t xml:space="preserve"> </w:t>
      </w:r>
      <w:r>
        <w:t xml:space="preserve">we are using SVD entropy</w:t>
      </w:r>
      <w:r>
        <w:t xml:space="preserve"> </w:t>
      </w:r>
      <w:r>
        <w:t xml:space="preserve">[14]</w:t>
      </w:r>
    </w:p>
    <w:p>
      <w:pPr>
        <w:numPr>
          <w:ilvl w:val="0"/>
          <w:numId w:val="1006"/>
        </w:numPr>
      </w:pPr>
      <w:r>
        <w:rPr>
          <w:i/>
          <w:iCs/>
        </w:rPr>
        <w:t xml:space="preserve">Motifs:</w:t>
      </w:r>
      <w:r>
        <w:t xml:space="preserve"> </w:t>
      </w:r>
      <w:r>
        <w:t xml:space="preserve">We can extract the motifs</w:t>
      </w:r>
      <w:r>
        <w:t xml:space="preserve"> </w:t>
      </w:r>
      <w:r>
        <w:t xml:space="preserve">[15,16]</w:t>
      </w:r>
      <w:r>
        <w:t xml:space="preserve">, namely:</w:t>
      </w:r>
    </w:p>
    <w:p>
      <w:pPr>
        <w:numPr>
          <w:ilvl w:val="1"/>
          <w:numId w:val="1008"/>
        </w:numPr>
      </w:pPr>
      <w:r>
        <w:t xml:space="preserve">S1: Number of linear chains</w:t>
      </w:r>
    </w:p>
    <w:p>
      <w:pPr>
        <w:numPr>
          <w:ilvl w:val="1"/>
          <w:numId w:val="1008"/>
        </w:numPr>
      </w:pPr>
      <w:r>
        <w:t xml:space="preserve">S2: Number of omnivory motifs</w:t>
      </w:r>
    </w:p>
    <w:p>
      <w:pPr>
        <w:numPr>
          <w:ilvl w:val="1"/>
          <w:numId w:val="1008"/>
        </w:numPr>
      </w:pPr>
      <w:r>
        <w:t xml:space="preserve">S4: Number of apparent competition motifs</w:t>
      </w:r>
    </w:p>
    <w:p>
      <w:pPr>
        <w:numPr>
          <w:ilvl w:val="1"/>
          <w:numId w:val="1008"/>
        </w:numPr>
      </w:pPr>
      <w:r>
        <w:t xml:space="preserve">S5: Number of direct competition motifs</w:t>
      </w:r>
    </w:p>
    <w:bookmarkEnd w:id="34"/>
    <w:bookmarkEnd w:id="35"/>
    <w:bookmarkStart w:id="50" w:name="results"/>
    <w:p>
      <w:pPr>
        <w:pStyle w:val="Heading1"/>
      </w:pPr>
      <w:r>
        <w:t xml:space="preserve">7. Results</w:t>
      </w:r>
    </w:p>
    <w:bookmarkStart w:id="40"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39" w:name="fig-summary"/>
          <w:p>
            <w:pPr>
              <w:pStyle w:val="Compact"/>
              <w:jc w:val="center"/>
            </w:pPr>
            <w:r>
              <w:drawing>
                <wp:inline>
                  <wp:extent cx="5334000" cy="2424545"/>
                  <wp:effectExtent b="0" l="0" r="0" t="0"/>
                  <wp:docPr descr="" title="" id="37" name="Picture"/>
                  <a:graphic>
                    <a:graphicData uri="http://schemas.openxmlformats.org/drawingml/2006/picture">
                      <pic:pic>
                        <pic:nvPicPr>
                          <pic:cNvPr descr="figures/summary.png" id="38" name="Picture"/>
                          <pic:cNvPicPr>
                            <a:picLocks noChangeArrowheads="1" noChangeAspect="1"/>
                          </pic:cNvPicPr>
                        </pic:nvPicPr>
                        <pic:blipFill>
                          <a:blip r:embed="rId36"/>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w:t>
            </w:r>
          </w:p>
          <w:bookmarkEnd w:id="39"/>
        </w:tc>
      </w:tr>
    </w:tbl>
    <w:bookmarkEnd w:id="40"/>
    <w:bookmarkStart w:id="41" w:name="comparing-inference"/>
    <w:p>
      <w:pPr>
        <w:pStyle w:val="Heading2"/>
      </w:pPr>
      <w:r>
        <w:t xml:space="preserve">7.2 Comparing inference</w:t>
      </w:r>
    </w:p>
    <w:bookmarkEnd w:id="41"/>
    <w:bookmarkStart w:id="49"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5" w:name="fig-extinction"/>
          <w:p>
            <w:pPr>
              <w:pStyle w:val="Compact"/>
              <w:jc w:val="center"/>
            </w:pPr>
            <w:r>
              <w:drawing>
                <wp:inline>
                  <wp:extent cx="5334000" cy="2909454"/>
                  <wp:effectExtent b="0" l="0" r="0" t="0"/>
                  <wp:docPr descr="" title="" id="43" name="Picture"/>
                  <a:graphic>
                    <a:graphicData uri="http://schemas.openxmlformats.org/drawingml/2006/picture">
                      <pic:pic>
                        <pic:nvPicPr>
                          <pic:cNvPr descr="figures/extinction.png" id="44" name="Picture"/>
                          <pic:cNvPicPr>
                            <a:picLocks noChangeArrowheads="1" noChangeAspect="1"/>
                          </pic:cNvPicPr>
                        </pic:nvPicPr>
                        <pic:blipFill>
                          <a:blip r:embed="rId42"/>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w:t>
            </w:r>
          </w:p>
          <w:bookmarkEnd w:id="45"/>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title="" id="47" name="Picture"/>
            <a:graphic>
              <a:graphicData uri="http://schemas.openxmlformats.org/drawingml/2006/picture">
                <pic:pic>
                  <pic:nvPicPr>
                    <pic:cNvPr descr="figures/extinction_all_results.png" id="48" name="Picture"/>
                    <pic:cNvPicPr>
                      <a:picLocks noChangeArrowheads="1" noChangeAspect="1"/>
                    </pic:cNvPicPr>
                  </pic:nvPicPr>
                  <pic:blipFill>
                    <a:blip r:embed="rId46"/>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w:t>
      </w:r>
    </w:p>
    <w:bookmarkEnd w:id="49"/>
    <w:bookmarkEnd w:id="50"/>
    <w:bookmarkStart w:id="83" w:name="references"/>
    <w:p>
      <w:pPr>
        <w:pStyle w:val="Heading1"/>
      </w:pPr>
      <w:r>
        <w:t xml:space="preserve">References</w:t>
      </w:r>
    </w:p>
    <w:bookmarkStart w:id="82" w:name="refs"/>
    <w:bookmarkStart w:id="52"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1">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2"/>
    <w:bookmarkStart w:id="54"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4"/>
    <w:bookmarkStart w:id="56"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6"/>
    <w:bookmarkStart w:id="58"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57">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58"/>
    <w:bookmarkStart w:id="60"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59">
        <w:r>
          <w:rPr>
            <w:rStyle w:val="Hyperlink"/>
          </w:rPr>
          <w:t xml:space="preserve">A framework for reconstructing ancient food webs using functional trait data</w:t>
        </w:r>
      </w:hyperlink>
      <w:r>
        <w:t xml:space="preserve">bioRxiv, 2024.01.30.578036</w:t>
      </w:r>
    </w:p>
    <w:bookmarkEnd w:id="60"/>
    <w:bookmarkStart w:id="62" w:name="ref-roopnarine2006"/>
    <w:p>
      <w:pPr>
        <w:pStyle w:val="Bibliography"/>
      </w:pPr>
      <w:r>
        <w:t xml:space="preserve">6.</w:t>
      </w:r>
      <w:r>
        <w:t xml:space="preserve"> </w:t>
      </w:r>
      <w:r>
        <w:t xml:space="preserve">	</w:t>
      </w:r>
      <w:r>
        <w:t xml:space="preserve">Roopnarine, P.D. (2006)</w:t>
      </w:r>
      <w:r>
        <w:t xml:space="preserve"> </w:t>
      </w:r>
      <w:hyperlink r:id="rId6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2"/>
    <w:bookmarkStart w:id="63"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3"/>
    <w:bookmarkStart w:id="65"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4">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5"/>
    <w:bookmarkStart w:id="67"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7"/>
    <w:bookmarkStart w:id="69"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68">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69"/>
    <w:bookmarkStart w:id="71"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1"/>
    <w:bookmarkStart w:id="73" w:name="ref-williams2000"/>
    <w:p>
      <w:pPr>
        <w:pStyle w:val="Bibliography"/>
      </w:pPr>
      <w:r>
        <w:t xml:space="preserve">12.</w:t>
      </w:r>
      <w:r>
        <w:t xml:space="preserve"> </w:t>
      </w:r>
      <w:r>
        <w:t xml:space="preserve">	</w:t>
      </w:r>
      <w:r>
        <w:t xml:space="preserve">Williams, R.J. and Martinez, N.D. (2000)</w:t>
      </w:r>
      <w:r>
        <w:t xml:space="preserve"> </w:t>
      </w:r>
      <w:hyperlink r:id="rId7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3"/>
    <w:bookmarkStart w:id="75" w:name="ref-williams2008"/>
    <w:p>
      <w:pPr>
        <w:pStyle w:val="Bibliography"/>
      </w:pPr>
      <w:r>
        <w:t xml:space="preserve">13.</w:t>
      </w:r>
      <w:r>
        <w:t xml:space="preserve"> </w:t>
      </w:r>
      <w:r>
        <w:t xml:space="preserve">	</w:t>
      </w:r>
      <w:r>
        <w:t xml:space="preserve">Williams, R.J. and Martinez, N.D. (2008)</w:t>
      </w:r>
      <w:r>
        <w:t xml:space="preserve"> </w:t>
      </w:r>
      <w:hyperlink r:id="rId7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5"/>
    <w:bookmarkStart w:id="77" w:name="ref-strydom2021"/>
    <w:p>
      <w:pPr>
        <w:pStyle w:val="Bibliography"/>
      </w:pPr>
      <w:r>
        <w:t xml:space="preserve">14.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77"/>
    <w:bookmarkStart w:id="79" w:name="ref-milo2002"/>
    <w:p>
      <w:pPr>
        <w:pStyle w:val="Bibliography"/>
      </w:pPr>
      <w:r>
        <w:t xml:space="preserve">15.</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7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79"/>
    <w:bookmarkStart w:id="81" w:name="ref-stouffer2007"/>
    <w:p>
      <w:pPr>
        <w:pStyle w:val="Bibliography"/>
      </w:pPr>
      <w:r>
        <w:t xml:space="preserve">16.</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8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hyperlink" Id="rId72" Target="https://doi.org/10.1038/35004572" TargetMode="External" /><Relationship Type="http://schemas.openxmlformats.org/officeDocument/2006/relationships/hyperlink" Id="rId51" Target="https://doi.org/10.1038/s41467-024-53000-2" TargetMode="External" /><Relationship Type="http://schemas.openxmlformats.org/officeDocument/2006/relationships/hyperlink" Id="rId66" Target="https://doi.org/10.1073/pnas.0710672105" TargetMode="External" /><Relationship Type="http://schemas.openxmlformats.org/officeDocument/2006/relationships/hyperlink" Id="rId70" Target="https://doi.org/10.1073/pnas.1408471111" TargetMode="External" /><Relationship Type="http://schemas.openxmlformats.org/officeDocument/2006/relationships/hyperlink" Id="rId68" Target="https://doi.org/10.1086/653667" TargetMode="External" /><Relationship Type="http://schemas.openxmlformats.org/officeDocument/2006/relationships/hyperlink" Id="rId80" Target="https://doi.org/10.1098/rspb.2007.0571" TargetMode="External" /><Relationship Type="http://schemas.openxmlformats.org/officeDocument/2006/relationships/hyperlink" Id="rId59" Target="https://doi.org/10.1101/2024.01.30.578036" TargetMode="External" /><Relationship Type="http://schemas.openxmlformats.org/officeDocument/2006/relationships/hyperlink" Id="rId53" Target="https://doi.org/10.1111/2041-210X.14228" TargetMode="External" /><Relationship Type="http://schemas.openxmlformats.org/officeDocument/2006/relationships/hyperlink" Id="rId55" Target="https://doi.org/10.1111/ele.13966" TargetMode="External" /><Relationship Type="http://schemas.openxmlformats.org/officeDocument/2006/relationships/hyperlink" Id="rId74" Target="https://doi.org/10.1111/j.1365-2656.2008.01362.x" TargetMode="External" /><Relationship Type="http://schemas.openxmlformats.org/officeDocument/2006/relationships/hyperlink" Id="rId64" Target="https://doi.org/10.1111/j.1475-4983.2006.00611.x" TargetMode="External" /><Relationship Type="http://schemas.openxmlformats.org/officeDocument/2006/relationships/hyperlink" Id="rId78" Target="https://doi.org/10.1126/science.298.5594.824" TargetMode="External" /><Relationship Type="http://schemas.openxmlformats.org/officeDocument/2006/relationships/hyperlink" Id="rId57" Target="https://doi.org/10.1126/science.abn4012" TargetMode="External" /><Relationship Type="http://schemas.openxmlformats.org/officeDocument/2006/relationships/hyperlink" Id="rId76" Target="https://doi.org/10.3389/fevo.2021.623141" TargetMode="External" /><Relationship Type="http://schemas.openxmlformats.org/officeDocument/2006/relationships/hyperlink" Id="rId6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1038/35004572" TargetMode="External" /><Relationship Type="http://schemas.openxmlformats.org/officeDocument/2006/relationships/hyperlink" Id="rId51" Target="https://doi.org/10.1038/s41467-024-53000-2" TargetMode="External" /><Relationship Type="http://schemas.openxmlformats.org/officeDocument/2006/relationships/hyperlink" Id="rId66" Target="https://doi.org/10.1073/pnas.0710672105" TargetMode="External" /><Relationship Type="http://schemas.openxmlformats.org/officeDocument/2006/relationships/hyperlink" Id="rId70" Target="https://doi.org/10.1073/pnas.1408471111" TargetMode="External" /><Relationship Type="http://schemas.openxmlformats.org/officeDocument/2006/relationships/hyperlink" Id="rId68" Target="https://doi.org/10.1086/653667" TargetMode="External" /><Relationship Type="http://schemas.openxmlformats.org/officeDocument/2006/relationships/hyperlink" Id="rId80" Target="https://doi.org/10.1098/rspb.2007.0571" TargetMode="External" /><Relationship Type="http://schemas.openxmlformats.org/officeDocument/2006/relationships/hyperlink" Id="rId59" Target="https://doi.org/10.1101/2024.01.30.578036" TargetMode="External" /><Relationship Type="http://schemas.openxmlformats.org/officeDocument/2006/relationships/hyperlink" Id="rId53" Target="https://doi.org/10.1111/2041-210X.14228" TargetMode="External" /><Relationship Type="http://schemas.openxmlformats.org/officeDocument/2006/relationships/hyperlink" Id="rId55" Target="https://doi.org/10.1111/ele.13966" TargetMode="External" /><Relationship Type="http://schemas.openxmlformats.org/officeDocument/2006/relationships/hyperlink" Id="rId74" Target="https://doi.org/10.1111/j.1365-2656.2008.01362.x" TargetMode="External" /><Relationship Type="http://schemas.openxmlformats.org/officeDocument/2006/relationships/hyperlink" Id="rId64" Target="https://doi.org/10.1111/j.1475-4983.2006.00611.x" TargetMode="External" /><Relationship Type="http://schemas.openxmlformats.org/officeDocument/2006/relationships/hyperlink" Id="rId78" Target="https://doi.org/10.1126/science.298.5594.824" TargetMode="External" /><Relationship Type="http://schemas.openxmlformats.org/officeDocument/2006/relationships/hyperlink" Id="rId57" Target="https://doi.org/10.1126/science.abn4012" TargetMode="External" /><Relationship Type="http://schemas.openxmlformats.org/officeDocument/2006/relationships/hyperlink" Id="rId76" Target="https://doi.org/10.3389/fevo.2021.623141" TargetMode="External" /><Relationship Type="http://schemas.openxmlformats.org/officeDocument/2006/relationships/hyperlink" Id="rId6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2024-11-05T15:59:42Z</dcterms:created>
  <dcterms:modified xsi:type="dcterms:W3CDTF">2024-11-05T15:59:42Z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